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160"/>
        <w:jc w:val="center"/>
        <w:rPr>
          <w:rFonts w:hint="eastAsia" w:ascii="文星简大标宋" w:hAnsi="文星简大标宋" w:eastAsia="文星简大标宋" w:cs="文星简大标宋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文星简大标宋" w:hAnsi="文星简大标宋" w:eastAsia="文星简大标宋" w:cs="文星简大标宋"/>
          <w:color w:val="auto"/>
          <w:sz w:val="44"/>
          <w:szCs w:val="44"/>
          <w:lang w:val="en-US" w:eastAsia="zh-CN"/>
        </w:rPr>
        <w:t>河北省工业和信息化厅随机抽查市场监管执法事项清单（2022年版）</w:t>
      </w:r>
    </w:p>
    <w:bookmarkEnd w:id="0"/>
    <w:p>
      <w:pPr>
        <w:spacing w:line="600" w:lineRule="exact"/>
        <w:ind w:right="160"/>
        <w:jc w:val="right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tbl>
      <w:tblPr>
        <w:tblStyle w:val="3"/>
        <w:tblW w:w="1379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6"/>
        <w:gridCol w:w="561"/>
        <w:gridCol w:w="1047"/>
        <w:gridCol w:w="562"/>
        <w:gridCol w:w="697"/>
        <w:gridCol w:w="1761"/>
        <w:gridCol w:w="3028"/>
        <w:gridCol w:w="987"/>
        <w:gridCol w:w="2936"/>
        <w:gridCol w:w="1062"/>
        <w:gridCol w:w="5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检查项目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检查子项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事项类别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检查主体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检查依据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检查方式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检查内容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是否适用跨部门联合“双随机”抽查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0" w:hRule="atLeast"/>
          <w:jc w:val="center"/>
        </w:trPr>
        <w:tc>
          <w:tcPr>
            <w:tcW w:w="6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省工业和信息化厅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监控化学品专项监督检查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省、市、县级工业和信息化部门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《中华人民共和国监控化学品管理条例》第五条；《&lt;中华人民共和国监控化学品管理条例&gt;实施细则》第四十四条。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实地核查、书面检查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依法对从事监控化学品生产、经营、使用以及进出口单位的监控化学品有关情况进行监督检查。核实该现场进行的建设、生产、经营活动的目的及性质与该企业或单位向各级履行《禁止化学武器公约》事务主管部门申报的有关活动内容是否一致；核实该现场对所涉及的监控化学品的生产数量以及加工、消耗第二类化学品的数量与该企业或单位向各级履行《禁止化学武器公约》事务主管部门申报的数量是否一致；核实销售第二类监控化学品的帐目及最终用户。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  <w:jc w:val="center"/>
        </w:trPr>
        <w:tc>
          <w:tcPr>
            <w:tcW w:w="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对已许可频率的使用情况实施监督检查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各市无线电监督执法局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《中华人民共和国无线电管理条例》第五十六条；《工业和信息化部行政许可实施办法》第三条；《无线电频率使用许可管理办法》第二十二条。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实地核查、书面检查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对已许可的频率是否按照相关无线电频率使用许可证规定的使用人、使用频率、使用地域、业务用途、使用期限、使用率要求、技术指标等要求使用进行监督检查。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0" w:hRule="atLeast"/>
          <w:jc w:val="center"/>
        </w:trPr>
        <w:tc>
          <w:tcPr>
            <w:tcW w:w="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对无线电台执照进行核验、对持照者实行监督检查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各市无线电监督执法局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《中华人民共和国无线电管理条例》第五十六条；《无线电台执照管理规定》第十二条；《业余无线电台管理办法》。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实地核查、书面检查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无线电台执照是否在有效期内，台站工作参数是否与执照载明参数一致，频占费缴纳情况。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jc w:val="center"/>
        </w:trPr>
        <w:tc>
          <w:tcPr>
            <w:tcW w:w="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无线电台识别码(含呼号）实行监督检查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各市无线电监督执法局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《中华人民共和国无线电管理条例》第十条、第三十一条、第三十四条。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实地核查、书面检查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检查是否与许可事项一致。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  <w:jc w:val="center"/>
        </w:trPr>
        <w:tc>
          <w:tcPr>
            <w:tcW w:w="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对食盐定点企业开展监督检查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省、市、县级盐业主管部门，部分市、县级市场监管部门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《食盐专营办法》第二十三条。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实地检查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向有关单位和个人了解情况；查阅、或复制有关合同、票据、账簿、购销记录及其他有关资料。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pPr>
        <w:rPr>
          <w:color w:val="auto"/>
        </w:rPr>
      </w:pPr>
    </w:p>
    <w:sectPr>
      <w:pgSz w:w="16838" w:h="11906" w:orient="landscape"/>
      <w:pgMar w:top="720" w:right="720" w:bottom="72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简大标宋">
    <w:panose1 w:val="02010609000101010101"/>
    <w:charset w:val="00"/>
    <w:family w:val="moder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75277D"/>
    <w:rsid w:val="115C019C"/>
    <w:rsid w:val="5B75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2022-05-09T06:37:00Z</dcterms:created>
  <dc:creator>杨淼</dc:creator>
  <cp:lastModifiedBy>杨淼</cp:lastModifiedBy>
  <dcterms:modified xsi:type="dcterms:W3CDTF">2022-05-09T06:38:14Z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